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44DC1">
        <w:rPr>
          <w:rFonts w:ascii="Times New Roman" w:hAnsi="Times New Roman" w:cs="Times New Roman"/>
          <w:b/>
          <w:sz w:val="36"/>
          <w:szCs w:val="36"/>
          <w:u w:val="single"/>
        </w:rPr>
        <w:t>16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95B16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DC1A66" w:rsidRPr="008F35DE" w:rsidRDefault="00644DC1" w:rsidP="00644DC1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 w:rsidRPr="00644DC1">
        <w:rPr>
          <w:rFonts w:ascii="Times New Roman" w:hAnsi="Times New Roman" w:cs="Times New Roman"/>
          <w:color w:val="000000"/>
          <w:szCs w:val="24"/>
          <w:lang w:val="es-ES_tradnl"/>
        </w:rPr>
        <w:t>Reparaciones generales e impermeabilización de las bóvedas, recuperación de revoques interiores y protección de hierros expuestos, reparaciones de carpinterías de hierro; realización de vereda perimetral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644DC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Nº 102, TACUAREMBÓ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B736B3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B736B3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B736B3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/PRO/10/85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9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44DC1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736B3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62939-422E-4B4E-BF45-2C3814B33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142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34</cp:revision>
  <dcterms:created xsi:type="dcterms:W3CDTF">2015-01-29T02:08:00Z</dcterms:created>
  <dcterms:modified xsi:type="dcterms:W3CDTF">2019-07-05T13:12:00Z</dcterms:modified>
</cp:coreProperties>
</file>